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6" w:rsidRPr="007E12C6" w:rsidRDefault="007E12C6" w:rsidP="004C3ED9">
      <w:pPr>
        <w:pStyle w:val="Title"/>
        <w:jc w:val="center"/>
        <w:rPr>
          <w:sz w:val="32"/>
          <w:szCs w:val="32"/>
        </w:rPr>
      </w:pPr>
      <w:r w:rsidRPr="007E12C6">
        <w:rPr>
          <w:sz w:val="32"/>
          <w:szCs w:val="32"/>
        </w:rPr>
        <w:t>Using FileIT With</w:t>
      </w:r>
      <w:bookmarkStart w:id="0" w:name="_GoBack"/>
      <w:bookmarkEnd w:id="0"/>
      <w:r w:rsidRPr="007E12C6">
        <w:rPr>
          <w:sz w:val="32"/>
          <w:szCs w:val="32"/>
        </w:rPr>
        <w:t xml:space="preserve"> </w:t>
      </w:r>
      <w:r w:rsidR="004C3ED9" w:rsidRPr="007E12C6">
        <w:rPr>
          <w:sz w:val="32"/>
          <w:szCs w:val="32"/>
        </w:rPr>
        <w:t>TrialWorks</w:t>
      </w:r>
    </w:p>
    <w:p w:rsidR="004C3ED9" w:rsidRDefault="004C3ED9" w:rsidP="004C3ED9">
      <w:pPr>
        <w:pStyle w:val="Subtitle"/>
        <w:jc w:val="center"/>
      </w:pPr>
      <w:r>
        <w:t>Version 11 and higher</w:t>
      </w:r>
    </w:p>
    <w:p w:rsidR="004C3ED9" w:rsidRPr="00646FD3" w:rsidRDefault="004C3ED9" w:rsidP="007E12C6">
      <w:pPr>
        <w:pStyle w:val="Quote"/>
      </w:pPr>
      <w:r w:rsidRPr="00646FD3">
        <w:t>The FileIT program allows you to import documents directly into</w:t>
      </w:r>
      <w:r w:rsidR="00966823">
        <w:t xml:space="preserve"> an</w:t>
      </w:r>
      <w:r w:rsidRPr="00646FD3">
        <w:t xml:space="preserve"> </w:t>
      </w:r>
      <w:r w:rsidR="007E12C6" w:rsidRPr="00966823">
        <w:rPr>
          <w:noProof/>
        </w:rPr>
        <w:t>individual</w:t>
      </w:r>
      <w:r w:rsidR="007E12C6">
        <w:t xml:space="preserve"> tab in </w:t>
      </w:r>
      <w:r w:rsidRPr="00646FD3">
        <w:t xml:space="preserve">TrialWorks cases.  Files previously saved to local hard drives or network folders </w:t>
      </w:r>
      <w:r w:rsidR="00DB67A1">
        <w:t>move</w:t>
      </w:r>
      <w:r w:rsidRPr="00646FD3">
        <w:t xml:space="preserve"> to the TrialWorks Casefiles folder.</w:t>
      </w:r>
    </w:p>
    <w:p w:rsidR="004C3ED9" w:rsidRPr="00646FD3" w:rsidRDefault="001E2EFD" w:rsidP="006D6105">
      <w:pPr>
        <w:pStyle w:val="ListParagraph"/>
        <w:numPr>
          <w:ilvl w:val="0"/>
          <w:numId w:val="4"/>
        </w:numPr>
        <w:ind w:left="360"/>
      </w:pPr>
      <w:r w:rsidRPr="00646FD3">
        <w:rPr>
          <w:noProof/>
        </w:rPr>
        <w:drawing>
          <wp:anchor distT="0" distB="0" distL="114300" distR="114300" simplePos="0" relativeHeight="251659264" behindDoc="1" locked="0" layoutInCell="1" allowOverlap="1" wp14:anchorId="4D9EA8A9" wp14:editId="5AB9347C">
            <wp:simplePos x="0" y="0"/>
            <wp:positionH relativeFrom="column">
              <wp:posOffset>3206750</wp:posOffset>
            </wp:positionH>
            <wp:positionV relativeFrom="paragraph">
              <wp:posOffset>8890</wp:posOffset>
            </wp:positionV>
            <wp:extent cx="320040" cy="411480"/>
            <wp:effectExtent l="19050" t="19050" r="60960" b="64770"/>
            <wp:wrapThrough wrapText="bothSides">
              <wp:wrapPolygon edited="0">
                <wp:start x="-1286" y="-1000"/>
                <wp:lineTo x="-1286" y="24000"/>
                <wp:lineTo x="24429" y="24000"/>
                <wp:lineTo x="24429" y="-1000"/>
                <wp:lineTo x="-1286" y="-100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06751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2C6">
        <w:t>Open FileIT from the Desktop icon</w:t>
      </w:r>
    </w:p>
    <w:p w:rsidR="004C3ED9" w:rsidRPr="00646FD3" w:rsidRDefault="004C3ED9" w:rsidP="006D6105">
      <w:pPr>
        <w:pStyle w:val="ListParagraph"/>
        <w:numPr>
          <w:ilvl w:val="0"/>
          <w:numId w:val="4"/>
        </w:numPr>
        <w:ind w:left="360"/>
      </w:pPr>
      <w:r w:rsidRPr="00646FD3">
        <w:t xml:space="preserve">The </w:t>
      </w:r>
      <w:r w:rsidRPr="007968CB">
        <w:rPr>
          <w:noProof/>
        </w:rPr>
        <w:t>FileIT</w:t>
      </w:r>
      <w:r w:rsidRPr="00646FD3">
        <w:t xml:space="preserve"> </w:t>
      </w:r>
      <w:r w:rsidR="007E12C6">
        <w:t xml:space="preserve">window </w:t>
      </w:r>
      <w:r w:rsidR="001E2EFD">
        <w:t>appears</w:t>
      </w:r>
    </w:p>
    <w:p w:rsidR="004C3ED9" w:rsidRPr="001E2EFD" w:rsidRDefault="004C3ED9" w:rsidP="004C3ED9">
      <w:pPr>
        <w:rPr>
          <w:sz w:val="6"/>
        </w:rPr>
      </w:pPr>
    </w:p>
    <w:p w:rsidR="004C3ED9" w:rsidRPr="004C3ED9" w:rsidRDefault="004C3ED9" w:rsidP="004C3ED9">
      <w:r>
        <w:rPr>
          <w:noProof/>
        </w:rPr>
        <w:drawing>
          <wp:inline distT="0" distB="0" distL="0" distR="0">
            <wp:extent cx="6400800" cy="319546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IT Main Screen with highligh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9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1"/>
        <w:gridCol w:w="1441"/>
        <w:gridCol w:w="1441"/>
        <w:gridCol w:w="1441"/>
      </w:tblGrid>
      <w:tr w:rsidR="001F2649" w:rsidRPr="001E2EFD" w:rsidTr="001E2EFD">
        <w:trPr>
          <w:trHeight w:val="1152"/>
          <w:jc w:val="center"/>
        </w:trPr>
        <w:tc>
          <w:tcPr>
            <w:tcW w:w="1440" w:type="dxa"/>
          </w:tcPr>
          <w:p w:rsidR="001F2649" w:rsidRPr="001E2EFD" w:rsidRDefault="0077459C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758825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1480" cy="429768"/>
                  <wp:effectExtent l="0" t="0" r="7620" b="8890"/>
                  <wp:wrapSquare wrapText="bothSides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leIT Open Import Fol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Open Folder</w:t>
            </w:r>
          </w:p>
        </w:tc>
        <w:tc>
          <w:tcPr>
            <w:tcW w:w="1440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1670050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1480" cy="429768"/>
                  <wp:effectExtent l="0" t="0" r="7620" b="8890"/>
                  <wp:wrapSquare wrapText="bothSides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eIT Prepare Transfer List 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Import Files</w:t>
            </w:r>
          </w:p>
        </w:tc>
        <w:tc>
          <w:tcPr>
            <w:tcW w:w="1440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2584450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2336" cy="429768"/>
                  <wp:effectExtent l="0" t="0" r="0" b="889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leIT Delete Items Transfer List Ic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Clear Import List</w:t>
            </w:r>
          </w:p>
        </w:tc>
        <w:tc>
          <w:tcPr>
            <w:tcW w:w="1441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3495675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0624" cy="429768"/>
                  <wp:effectExtent l="0" t="0" r="0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leIT Assign to All Ic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Assign to All</w:t>
            </w:r>
          </w:p>
        </w:tc>
        <w:tc>
          <w:tcPr>
            <w:tcW w:w="1441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4410075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47675" cy="43815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leIT Remove Files from Transfer List Ic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Delete Transfer List</w:t>
            </w:r>
          </w:p>
        </w:tc>
        <w:tc>
          <w:tcPr>
            <w:tcW w:w="1441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5324475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4338" cy="428625"/>
                  <wp:effectExtent l="0" t="0" r="508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leIT Transfer Files Ic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Transfer Files</w:t>
            </w:r>
          </w:p>
        </w:tc>
        <w:tc>
          <w:tcPr>
            <w:tcW w:w="1441" w:type="dxa"/>
          </w:tcPr>
          <w:p w:rsidR="001F2649" w:rsidRPr="001E2EFD" w:rsidRDefault="00FE3793" w:rsidP="001E2EFD">
            <w:pPr>
              <w:jc w:val="center"/>
              <w:rPr>
                <w:sz w:val="20"/>
                <w:szCs w:val="20"/>
              </w:rPr>
            </w:pPr>
            <w:r w:rsidRPr="001E2E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6238875" y="6064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3192" cy="429768"/>
                  <wp:effectExtent l="0" t="0" r="6985" b="889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leIT Close Program Ic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3E" w:rsidRPr="001E2EFD">
              <w:rPr>
                <w:sz w:val="20"/>
                <w:szCs w:val="20"/>
              </w:rPr>
              <w:t>Close FileIT</w:t>
            </w:r>
          </w:p>
        </w:tc>
      </w:tr>
    </w:tbl>
    <w:p w:rsidR="001E2EFD" w:rsidRDefault="001E2EFD" w:rsidP="001E2EFD">
      <w:pPr>
        <w:pStyle w:val="ListParagraph"/>
        <w:numPr>
          <w:ilvl w:val="0"/>
          <w:numId w:val="1"/>
        </w:numPr>
      </w:pPr>
      <w:r>
        <w:t>Open Folder – Use to add a folder to Import From each time you open FileIT</w:t>
      </w:r>
    </w:p>
    <w:p w:rsidR="001E2EFD" w:rsidRDefault="001E2EFD" w:rsidP="001E2EFD">
      <w:pPr>
        <w:pStyle w:val="ListParagraph"/>
        <w:numPr>
          <w:ilvl w:val="0"/>
          <w:numId w:val="1"/>
        </w:numPr>
      </w:pPr>
      <w:r>
        <w:t>Import Files – Use to add all files in the Import From folder into FileIT</w:t>
      </w:r>
    </w:p>
    <w:p w:rsidR="001E2EFD" w:rsidRDefault="001E2EFD" w:rsidP="001E2EFD">
      <w:pPr>
        <w:pStyle w:val="ListParagraph"/>
        <w:numPr>
          <w:ilvl w:val="0"/>
          <w:numId w:val="1"/>
        </w:numPr>
      </w:pPr>
      <w:r>
        <w:t>Clear Import – Use to clear the previous folders available in the Import From drop-down list</w:t>
      </w:r>
    </w:p>
    <w:p w:rsidR="001E2EFD" w:rsidRDefault="001E2EFD" w:rsidP="001E2EFD">
      <w:pPr>
        <w:pStyle w:val="ListParagraph"/>
        <w:numPr>
          <w:ilvl w:val="0"/>
          <w:numId w:val="1"/>
        </w:numPr>
      </w:pPr>
      <w:r>
        <w:t xml:space="preserve">Assign to All – Use to Assign a Case, Tab, Document Category, Author, Party, Date and Received to All documents listed </w:t>
      </w:r>
      <w:r w:rsidR="00DB67A1">
        <w:rPr>
          <w:noProof/>
        </w:rPr>
        <w:t>o</w:t>
      </w:r>
      <w:r w:rsidRPr="00DB67A1">
        <w:rPr>
          <w:noProof/>
        </w:rPr>
        <w:t>n</w:t>
      </w:r>
      <w:r>
        <w:t xml:space="preserve"> the Transfer List</w:t>
      </w:r>
    </w:p>
    <w:p w:rsidR="001E2EFD" w:rsidRDefault="001E2EFD" w:rsidP="001E2EFD">
      <w:pPr>
        <w:pStyle w:val="ListParagraph"/>
        <w:numPr>
          <w:ilvl w:val="0"/>
          <w:numId w:val="1"/>
        </w:numPr>
      </w:pPr>
      <w:r>
        <w:t>Delete Transfer List – Use to clear the list of files</w:t>
      </w:r>
    </w:p>
    <w:p w:rsidR="001E2EFD" w:rsidRDefault="001E2EFD" w:rsidP="001E2EFD">
      <w:pPr>
        <w:pStyle w:val="ListParagraph"/>
        <w:numPr>
          <w:ilvl w:val="0"/>
          <w:numId w:val="1"/>
        </w:numPr>
      </w:pPr>
      <w:r>
        <w:t>Transfer Files – Use to transfer all files tagged with a Case and Document Tab to TrialWorks</w:t>
      </w:r>
    </w:p>
    <w:p w:rsidR="00DF1024" w:rsidRDefault="001E2EFD" w:rsidP="001E2EFD">
      <w:pPr>
        <w:pStyle w:val="ListParagraph"/>
        <w:numPr>
          <w:ilvl w:val="0"/>
          <w:numId w:val="1"/>
        </w:numPr>
      </w:pPr>
      <w:r>
        <w:t>Close FileIT – Use to Close the FileIT Program</w:t>
      </w:r>
      <w:r w:rsidR="00DF1024">
        <w:br w:type="page"/>
      </w:r>
    </w:p>
    <w:p w:rsidR="00966823" w:rsidRDefault="00966823" w:rsidP="00966823">
      <w:pPr>
        <w:pStyle w:val="Heading1"/>
      </w:pPr>
      <w:r>
        <w:lastRenderedPageBreak/>
        <w:t>Transferring Documents</w:t>
      </w:r>
    </w:p>
    <w:p w:rsidR="00B22C86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on the </w:t>
      </w:r>
      <w:r w:rsidR="00F74015" w:rsidRPr="00DB67A1">
        <w:rPr>
          <w:b/>
          <w:smallCaps/>
        </w:rPr>
        <w:t>Open Folder</w:t>
      </w:r>
      <w:r w:rsidR="00F74015">
        <w:t xml:space="preserve"> </w:t>
      </w:r>
      <w:r w:rsidRPr="00646FD3">
        <w:t>icon to the upper right of the FileIT window to choose the directory that you want to</w:t>
      </w:r>
      <w:r w:rsidR="00DB67A1">
        <w:t xml:space="preserve"> import files</w:t>
      </w:r>
      <w:r w:rsidRPr="00646FD3">
        <w:t xml:space="preserve">. Scroll through the </w:t>
      </w:r>
      <w:r w:rsidRPr="00646FD3">
        <w:rPr>
          <w:b/>
          <w:smallCaps/>
        </w:rPr>
        <w:t>Browse for Folder</w:t>
      </w:r>
      <w:r w:rsidRPr="00646FD3">
        <w:t xml:space="preserve"> window, choose the directory where you have saved the files (or scanned images) you want to import into </w:t>
      </w:r>
      <w:r w:rsidR="00F74015">
        <w:t xml:space="preserve">TrialWorks.  Choosing an Import From folder saves the folder as a default to transfer files.  </w:t>
      </w:r>
      <w:r w:rsidR="00C74C8E">
        <w:t xml:space="preserve">No </w:t>
      </w:r>
      <w:r w:rsidR="00F74015">
        <w:t xml:space="preserve">files </w:t>
      </w:r>
      <w:r w:rsidR="00C74C8E">
        <w:t xml:space="preserve">show </w:t>
      </w:r>
      <w:r w:rsidR="00F74015">
        <w:t>in this view.</w:t>
      </w:r>
    </w:p>
    <w:p w:rsidR="00B22C86" w:rsidRPr="00646FD3" w:rsidRDefault="00F74015" w:rsidP="00F74015">
      <w:pPr>
        <w:pStyle w:val="Header"/>
        <w:ind w:left="360"/>
        <w:jc w:val="center"/>
      </w:pPr>
      <w:r w:rsidRPr="00646FD3">
        <w:rPr>
          <w:noProof/>
        </w:rPr>
        <w:drawing>
          <wp:inline distT="0" distB="0" distL="0" distR="0" wp14:anchorId="4888FA1B" wp14:editId="49EFAC1C">
            <wp:extent cx="16002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86" w:rsidRPr="00646FD3" w:rsidRDefault="00B22C86" w:rsidP="00F7401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the </w:t>
      </w:r>
      <w:r w:rsidR="00902C21">
        <w:rPr>
          <w:b/>
          <w:smallCaps/>
        </w:rPr>
        <w:t xml:space="preserve">Import </w:t>
      </w:r>
      <w:r w:rsidR="001633C5">
        <w:rPr>
          <w:b/>
          <w:smallCaps/>
        </w:rPr>
        <w:t>Files</w:t>
      </w:r>
      <w:r w:rsidRPr="00646FD3">
        <w:t xml:space="preserve"> </w:t>
      </w:r>
      <w:r w:rsidR="00F74015">
        <w:t>icon</w:t>
      </w:r>
      <w:r w:rsidRPr="00646FD3">
        <w:t xml:space="preserve">.  The files that you want to import into TrialWorks </w:t>
      </w:r>
      <w:r w:rsidR="00C74C8E" w:rsidRPr="0067024E">
        <w:rPr>
          <w:noProof/>
        </w:rPr>
        <w:t xml:space="preserve">are </w:t>
      </w:r>
      <w:r w:rsidRPr="0067024E">
        <w:rPr>
          <w:noProof/>
        </w:rPr>
        <w:t>listed</w:t>
      </w:r>
      <w:r w:rsidRPr="00646FD3">
        <w:t xml:space="preserve"> </w:t>
      </w:r>
      <w:r w:rsidR="007968CB">
        <w:rPr>
          <w:noProof/>
        </w:rPr>
        <w:t>o</w:t>
      </w:r>
      <w:r w:rsidRPr="007968CB">
        <w:rPr>
          <w:noProof/>
        </w:rPr>
        <w:t>n</w:t>
      </w:r>
      <w:r w:rsidRPr="00646FD3">
        <w:t xml:space="preserve"> the transfer list.</w:t>
      </w:r>
    </w:p>
    <w:p w:rsidR="00B22C86" w:rsidRPr="00646FD3" w:rsidRDefault="00B22C86" w:rsidP="00B22C86">
      <w:pPr>
        <w:pStyle w:val="Header"/>
        <w:ind w:left="360"/>
        <w:jc w:val="center"/>
      </w:pPr>
      <w:r w:rsidRPr="00646FD3">
        <w:rPr>
          <w:noProof/>
        </w:rPr>
        <w:drawing>
          <wp:inline distT="0" distB="0" distL="0" distR="0" wp14:anchorId="680994F6" wp14:editId="52A4846C">
            <wp:extent cx="5742432" cy="277671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86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C74C8E">
        <w:rPr>
          <w:noProof/>
        </w:rPr>
        <w:t xml:space="preserve">If you need to change the date, click </w:t>
      </w:r>
      <w:r w:rsidR="007968CB" w:rsidRPr="00C74C8E">
        <w:rPr>
          <w:noProof/>
        </w:rPr>
        <w:t>o</w:t>
      </w:r>
      <w:r w:rsidRPr="00C74C8E">
        <w:rPr>
          <w:noProof/>
        </w:rPr>
        <w:t xml:space="preserve">n the </w:t>
      </w:r>
      <w:r w:rsidRPr="00C74C8E">
        <w:rPr>
          <w:b/>
          <w:smallCaps/>
          <w:noProof/>
        </w:rPr>
        <w:t>Date</w:t>
      </w:r>
      <w:r w:rsidRPr="00C74C8E">
        <w:rPr>
          <w:b/>
          <w:noProof/>
        </w:rPr>
        <w:t xml:space="preserve"> </w:t>
      </w:r>
      <w:r w:rsidRPr="00C74C8E">
        <w:rPr>
          <w:noProof/>
        </w:rPr>
        <w:t>field and click the drop-down arrow to choose the date from a calendar or start typing the date of the document.</w:t>
      </w:r>
      <w:r w:rsidRPr="00646FD3">
        <w:t xml:space="preserve">  If you are filing multiple documents with the same date, you can click the </w:t>
      </w:r>
      <w:r w:rsidR="00F74015">
        <w:rPr>
          <w:b/>
          <w:smallCaps/>
        </w:rPr>
        <w:t xml:space="preserve">Assign </w:t>
      </w:r>
      <w:r w:rsidRPr="00646FD3">
        <w:rPr>
          <w:b/>
          <w:smallCaps/>
        </w:rPr>
        <w:t>to All</w:t>
      </w:r>
      <w:r w:rsidRPr="00646FD3">
        <w:t xml:space="preserve"> button at the bottom of the FileIT window to choose the date.</w:t>
      </w:r>
    </w:p>
    <w:p w:rsidR="00A60307" w:rsidRDefault="00A60307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>
        <w:t xml:space="preserve">Click in the </w:t>
      </w:r>
      <w:r w:rsidRPr="00A60307">
        <w:rPr>
          <w:b/>
          <w:smallCaps/>
        </w:rPr>
        <w:t>Search</w:t>
      </w:r>
      <w:r>
        <w:t xml:space="preserve"> field to search for your case by file number.</w:t>
      </w:r>
    </w:p>
    <w:p w:rsidR="00A60307" w:rsidRPr="00646FD3" w:rsidRDefault="00A60307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>
        <w:t xml:space="preserve">Check the box for </w:t>
      </w:r>
      <w:r w:rsidRPr="00A60307">
        <w:rPr>
          <w:b/>
          <w:smallCaps/>
        </w:rPr>
        <w:t>Multi</w:t>
      </w:r>
      <w:r>
        <w:t xml:space="preserve"> to add a single document to multiple cases.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lastRenderedPageBreak/>
        <w:t xml:space="preserve">Click </w:t>
      </w:r>
      <w:r w:rsidR="007968CB">
        <w:rPr>
          <w:noProof/>
        </w:rPr>
        <w:t>o</w:t>
      </w:r>
      <w:r w:rsidRPr="007968CB">
        <w:rPr>
          <w:noProof/>
        </w:rPr>
        <w:t>n</w:t>
      </w:r>
      <w:r w:rsidRPr="00646FD3">
        <w:t xml:space="preserve"> the </w:t>
      </w:r>
      <w:r w:rsidRPr="00646FD3">
        <w:rPr>
          <w:b/>
          <w:smallCaps/>
        </w:rPr>
        <w:t>Case Name</w:t>
      </w:r>
      <w:r w:rsidRPr="00646FD3">
        <w:rPr>
          <w:bCs/>
        </w:rPr>
        <w:t xml:space="preserve"> </w:t>
      </w:r>
      <w:r w:rsidRPr="00646FD3">
        <w:t xml:space="preserve">field and click the drop-down </w:t>
      </w:r>
      <w:r w:rsidRPr="007968CB">
        <w:rPr>
          <w:noProof/>
        </w:rPr>
        <w:t>arrow</w:t>
      </w:r>
      <w:r w:rsidRPr="00646FD3">
        <w:t xml:space="preserve"> or start typing the name of the case you want the files to </w:t>
      </w:r>
      <w:r w:rsidR="00C74C8E">
        <w:rPr>
          <w:noProof/>
        </w:rPr>
        <w:t>transfer</w:t>
      </w:r>
      <w:r w:rsidRPr="00646FD3">
        <w:t xml:space="preserve">.  If you are filing multiple documents into the same case, you can click the </w:t>
      </w:r>
      <w:r w:rsidR="00CE2178">
        <w:rPr>
          <w:b/>
          <w:smallCaps/>
        </w:rPr>
        <w:t>Assign</w:t>
      </w:r>
      <w:r w:rsidRPr="00646FD3">
        <w:rPr>
          <w:b/>
          <w:smallCaps/>
        </w:rPr>
        <w:t xml:space="preserve"> to All</w:t>
      </w:r>
      <w:r w:rsidRPr="00646FD3">
        <w:t xml:space="preserve"> button at the bottom of the FileIT window to choose the case.</w:t>
      </w:r>
      <w:r w:rsidR="0053549E">
        <w:t xml:space="preserve">  You can also filter the list of cases by clicking on the Filter icon </w:t>
      </w:r>
      <w:bookmarkStart w:id="1" w:name="OLE_LINK3"/>
      <w:bookmarkStart w:id="2" w:name="OLE_LINK5"/>
      <w:r w:rsidR="0053549E">
        <w:t>and Refresh the case list for any new cases added to TrialWorks while FileIT was opened</w:t>
      </w:r>
      <w:bookmarkEnd w:id="1"/>
      <w:bookmarkEnd w:id="2"/>
      <w:r w:rsidR="0053549E">
        <w:t>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</w:t>
      </w:r>
      <w:r w:rsidR="00C74C8E">
        <w:rPr>
          <w:noProof/>
        </w:rPr>
        <w:t>o</w:t>
      </w:r>
      <w:r w:rsidRPr="00C74C8E">
        <w:rPr>
          <w:noProof/>
        </w:rPr>
        <w:t>n</w:t>
      </w:r>
      <w:r w:rsidRPr="00646FD3">
        <w:t xml:space="preserve"> the </w:t>
      </w:r>
      <w:r w:rsidRPr="00646FD3">
        <w:rPr>
          <w:b/>
          <w:smallCaps/>
        </w:rPr>
        <w:t>Tab</w:t>
      </w:r>
      <w:r w:rsidRPr="00646FD3">
        <w:t xml:space="preserve"> field and click the drop-down </w:t>
      </w:r>
      <w:r w:rsidRPr="007968CB">
        <w:rPr>
          <w:noProof/>
        </w:rPr>
        <w:t>arrow</w:t>
      </w:r>
      <w:r w:rsidRPr="00646FD3">
        <w:t xml:space="preserve"> or start typing the tab name to choose the correct tab that the file </w:t>
      </w:r>
      <w:r w:rsidR="00C74C8E" w:rsidRPr="00C74C8E">
        <w:rPr>
          <w:noProof/>
        </w:rPr>
        <w:t>to transfer</w:t>
      </w:r>
      <w:r w:rsidRPr="00646FD3">
        <w:t xml:space="preserve">.  If you are filing multiple documents into the same tab, you can click the </w:t>
      </w:r>
      <w:bookmarkStart w:id="3" w:name="OLE_LINK1"/>
      <w:r w:rsidR="00CE2178">
        <w:rPr>
          <w:b/>
          <w:smallCaps/>
        </w:rPr>
        <w:t>Assign</w:t>
      </w:r>
      <w:r w:rsidRPr="00646FD3">
        <w:rPr>
          <w:b/>
          <w:smallCaps/>
        </w:rPr>
        <w:t xml:space="preserve"> to All</w:t>
      </w:r>
      <w:r w:rsidRPr="00646FD3">
        <w:t xml:space="preserve"> </w:t>
      </w:r>
      <w:bookmarkEnd w:id="3"/>
      <w:r w:rsidRPr="00646FD3">
        <w:t>button at the bottom of the FileIT window to choose the tab.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</w:t>
      </w:r>
      <w:r w:rsidR="00C74C8E">
        <w:rPr>
          <w:noProof/>
        </w:rPr>
        <w:t>o</w:t>
      </w:r>
      <w:r w:rsidRPr="00C74C8E">
        <w:rPr>
          <w:noProof/>
        </w:rPr>
        <w:t>n</w:t>
      </w:r>
      <w:r w:rsidRPr="00646FD3">
        <w:t xml:space="preserve"> the </w:t>
      </w:r>
      <w:r w:rsidRPr="00646FD3">
        <w:rPr>
          <w:b/>
          <w:smallCaps/>
        </w:rPr>
        <w:t>Author</w:t>
      </w:r>
      <w:r w:rsidRPr="00646FD3">
        <w:t xml:space="preserve"> field and either click the drop-down </w:t>
      </w:r>
      <w:r w:rsidRPr="007968CB">
        <w:rPr>
          <w:noProof/>
        </w:rPr>
        <w:t>arrow</w:t>
      </w:r>
      <w:r w:rsidRPr="00646FD3">
        <w:t xml:space="preserve"> or start typing the name of the individual who signed the document.  If you are filing multiple documents signed by the same author, you can click the </w:t>
      </w:r>
      <w:r w:rsidR="00CE2178">
        <w:rPr>
          <w:b/>
          <w:smallCaps/>
        </w:rPr>
        <w:t>Assign</w:t>
      </w:r>
      <w:r w:rsidR="00CE2178" w:rsidRPr="00646FD3">
        <w:rPr>
          <w:b/>
          <w:smallCaps/>
        </w:rPr>
        <w:t xml:space="preserve"> to All</w:t>
      </w:r>
      <w:r w:rsidR="00CE2178" w:rsidRPr="00646FD3">
        <w:t xml:space="preserve"> </w:t>
      </w:r>
      <w:r w:rsidRPr="00646FD3">
        <w:t>button at the bottom of the FileIT window to choose the author.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</w:t>
      </w:r>
      <w:r w:rsidR="00C74C8E">
        <w:rPr>
          <w:noProof/>
        </w:rPr>
        <w:t>o</w:t>
      </w:r>
      <w:r w:rsidRPr="00C74C8E">
        <w:rPr>
          <w:noProof/>
        </w:rPr>
        <w:t>n</w:t>
      </w:r>
      <w:r w:rsidRPr="00646FD3">
        <w:t xml:space="preserve"> the </w:t>
      </w:r>
      <w:r w:rsidRPr="00646FD3">
        <w:rPr>
          <w:b/>
          <w:smallCaps/>
        </w:rPr>
        <w:t>Party Name</w:t>
      </w:r>
      <w:r w:rsidRPr="00646FD3">
        <w:t xml:space="preserve"> field and click the drop-down </w:t>
      </w:r>
      <w:r w:rsidRPr="007968CB">
        <w:rPr>
          <w:noProof/>
        </w:rPr>
        <w:t>arrow</w:t>
      </w:r>
      <w:r w:rsidRPr="00646FD3">
        <w:t xml:space="preserve"> or start typing the name of the Party to associate the document.</w:t>
      </w:r>
      <w:r w:rsidR="00CE2178">
        <w:t xml:space="preserve"> </w:t>
      </w:r>
      <w:r w:rsidR="00CE2178" w:rsidRPr="00646FD3">
        <w:t xml:space="preserve">If you are filing multiple documents signed by the same </w:t>
      </w:r>
      <w:r w:rsidR="00CE2178">
        <w:t>Party Name</w:t>
      </w:r>
      <w:r w:rsidR="00CE2178" w:rsidRPr="00646FD3">
        <w:t xml:space="preserve">, you can click the </w:t>
      </w:r>
      <w:r w:rsidR="00CE2178">
        <w:rPr>
          <w:b/>
          <w:smallCaps/>
        </w:rPr>
        <w:t>Assign</w:t>
      </w:r>
      <w:r w:rsidR="00CE2178" w:rsidRPr="00646FD3">
        <w:rPr>
          <w:b/>
          <w:smallCaps/>
        </w:rPr>
        <w:t xml:space="preserve"> to All</w:t>
      </w:r>
      <w:r w:rsidR="00CE2178" w:rsidRPr="00646FD3">
        <w:t xml:space="preserve"> button at the bottom of the FileIT window to choose the author.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in the </w:t>
      </w:r>
      <w:r w:rsidRPr="00646FD3">
        <w:rPr>
          <w:b/>
          <w:smallCaps/>
        </w:rPr>
        <w:t>Doc Category</w:t>
      </w:r>
      <w:r w:rsidRPr="00646FD3">
        <w:t xml:space="preserve"> field and click the drop-down </w:t>
      </w:r>
      <w:r w:rsidRPr="007968CB">
        <w:rPr>
          <w:noProof/>
        </w:rPr>
        <w:t>arrow</w:t>
      </w:r>
      <w:r w:rsidRPr="00646FD3">
        <w:t xml:space="preserve"> or start typing the document category the file </w:t>
      </w:r>
      <w:r w:rsidR="00C74C8E">
        <w:t xml:space="preserve">should </w:t>
      </w:r>
      <w:r w:rsidRPr="00966823">
        <w:rPr>
          <w:noProof/>
        </w:rPr>
        <w:t>be assigned</w:t>
      </w:r>
      <w:r w:rsidRPr="00646FD3">
        <w:t xml:space="preserve">. If you are filing multiple documents into the same tab, you can click the </w:t>
      </w:r>
      <w:bookmarkStart w:id="4" w:name="OLE_LINK2"/>
      <w:r w:rsidR="00CE2178">
        <w:rPr>
          <w:b/>
          <w:smallCaps/>
        </w:rPr>
        <w:t>Assign</w:t>
      </w:r>
      <w:r w:rsidR="00CE2178" w:rsidRPr="00646FD3">
        <w:rPr>
          <w:b/>
          <w:smallCaps/>
        </w:rPr>
        <w:t xml:space="preserve"> to All</w:t>
      </w:r>
      <w:r w:rsidR="00CE2178" w:rsidRPr="00646FD3">
        <w:t xml:space="preserve"> </w:t>
      </w:r>
      <w:bookmarkEnd w:id="4"/>
      <w:r w:rsidRPr="00646FD3">
        <w:t>button at the bottom of the FileIT window to choose the tab.</w:t>
      </w:r>
    </w:p>
    <w:p w:rsidR="00B22C86" w:rsidRPr="00646FD3" w:rsidRDefault="0053549E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>
        <w:rPr>
          <w:b/>
          <w:smallCaps/>
        </w:rPr>
        <w:t xml:space="preserve">Email List - </w:t>
      </w:r>
      <w:r w:rsidR="00966823">
        <w:t>With</w:t>
      </w:r>
      <w:r w:rsidR="00B22C86" w:rsidRPr="00646FD3">
        <w:t xml:space="preserve"> the “Send E-mail from FileIT” option </w:t>
      </w:r>
      <w:r w:rsidR="00B22C86" w:rsidRPr="00966823">
        <w:rPr>
          <w:noProof/>
        </w:rPr>
        <w:t>enabled</w:t>
      </w:r>
      <w:r w:rsidR="00B22C86" w:rsidRPr="00646FD3">
        <w:t xml:space="preserve"> in the Global Settings of TrialWorks, FileIT </w:t>
      </w:r>
      <w:r w:rsidR="00B22C86" w:rsidRPr="00C74C8E">
        <w:rPr>
          <w:noProof/>
        </w:rPr>
        <w:t>create</w:t>
      </w:r>
      <w:r w:rsidR="00C74C8E">
        <w:rPr>
          <w:noProof/>
        </w:rPr>
        <w:t>s</w:t>
      </w:r>
      <w:r w:rsidR="00B22C86" w:rsidRPr="00646FD3">
        <w:t xml:space="preserve"> an e-mail with a shortcut to the document for each record that you transfer.  The e-mail </w:t>
      </w:r>
      <w:r w:rsidR="00B22C86" w:rsidRPr="00C74C8E">
        <w:rPr>
          <w:noProof/>
        </w:rPr>
        <w:t>fill</w:t>
      </w:r>
      <w:r w:rsidR="00C74C8E">
        <w:rPr>
          <w:noProof/>
        </w:rPr>
        <w:t>s</w:t>
      </w:r>
      <w:r w:rsidR="00B22C86" w:rsidRPr="00646FD3">
        <w:t xml:space="preserve"> in the default invitees that </w:t>
      </w:r>
      <w:r w:rsidR="00966823" w:rsidRPr="0067024E">
        <w:rPr>
          <w:noProof/>
        </w:rPr>
        <w:t xml:space="preserve">were </w:t>
      </w:r>
      <w:r w:rsidR="00B22C86" w:rsidRPr="0067024E">
        <w:rPr>
          <w:noProof/>
        </w:rPr>
        <w:t>selected</w:t>
      </w:r>
      <w:r w:rsidR="00B22C86" w:rsidRPr="00646FD3">
        <w:t xml:space="preserve"> on the Case Info tab of the case.  If this default setting is turned on, the default invitee names </w:t>
      </w:r>
      <w:r>
        <w:t xml:space="preserve">appear </w:t>
      </w:r>
      <w:r w:rsidR="00B22C86" w:rsidRPr="00646FD3">
        <w:t xml:space="preserve">in the </w:t>
      </w:r>
      <w:r w:rsidR="00CE2178">
        <w:rPr>
          <w:b/>
          <w:smallCaps/>
        </w:rPr>
        <w:t>To</w:t>
      </w:r>
      <w:r w:rsidR="00B22C86" w:rsidRPr="00646FD3">
        <w:t xml:space="preserve"> field </w:t>
      </w:r>
      <w:r w:rsidR="00CE2178">
        <w:t xml:space="preserve">when the E-mail </w:t>
      </w:r>
      <w:r w:rsidR="00CE2178" w:rsidRPr="0067024E">
        <w:rPr>
          <w:noProof/>
        </w:rPr>
        <w:t>is created</w:t>
      </w:r>
      <w:r w:rsidR="00B22C86" w:rsidRPr="00646FD3">
        <w:t>.</w:t>
      </w:r>
      <w:r>
        <w:t xml:space="preserve"> You can also add any additional names in the Email List field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Click </w:t>
      </w:r>
      <w:r w:rsidR="00C74C8E">
        <w:rPr>
          <w:noProof/>
        </w:rPr>
        <w:t>o</w:t>
      </w:r>
      <w:r w:rsidRPr="00C74C8E">
        <w:rPr>
          <w:noProof/>
        </w:rPr>
        <w:t>n</w:t>
      </w:r>
      <w:r w:rsidRPr="00646FD3">
        <w:t xml:space="preserve"> the </w:t>
      </w:r>
      <w:r w:rsidRPr="00646FD3">
        <w:rPr>
          <w:b/>
          <w:smallCaps/>
        </w:rPr>
        <w:t>Date Received</w:t>
      </w:r>
      <w:r w:rsidRPr="00646FD3">
        <w:t xml:space="preserve"> field and click the drop-down arrow to choose the date from a </w:t>
      </w:r>
      <w:r w:rsidRPr="007968CB">
        <w:rPr>
          <w:noProof/>
        </w:rPr>
        <w:t>calendar</w:t>
      </w:r>
      <w:r w:rsidRPr="00646FD3">
        <w:t xml:space="preserve"> or type the date the document was received.  If you are filing multiple documents with the same received date, you can click the </w:t>
      </w:r>
      <w:r w:rsidR="00CE2178">
        <w:rPr>
          <w:b/>
          <w:smallCaps/>
        </w:rPr>
        <w:t>Assign</w:t>
      </w:r>
      <w:r w:rsidR="00CE2178" w:rsidRPr="00646FD3">
        <w:rPr>
          <w:b/>
          <w:smallCaps/>
        </w:rPr>
        <w:t xml:space="preserve"> to All</w:t>
      </w:r>
      <w:r w:rsidR="00CE2178" w:rsidRPr="00646FD3">
        <w:t xml:space="preserve"> </w:t>
      </w:r>
      <w:r w:rsidRPr="00646FD3">
        <w:t>button at the bottom of the FileIT window to choose the date.</w:t>
      </w:r>
    </w:p>
    <w:p w:rsidR="00B22C86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>Click on the “</w:t>
      </w:r>
      <w:r w:rsidRPr="00646FD3">
        <w:rPr>
          <w:b/>
          <w:smallCaps/>
        </w:rPr>
        <w:t>Transfer Files</w:t>
      </w:r>
      <w:r w:rsidRPr="00646FD3">
        <w:t xml:space="preserve">” button to transfer all files assigned to cases.  The individual files </w:t>
      </w:r>
      <w:r w:rsidRPr="00646FD3">
        <w:rPr>
          <w:b/>
          <w:u w:val="single"/>
        </w:rPr>
        <w:t>move</w:t>
      </w:r>
      <w:r w:rsidRPr="00646FD3">
        <w:t xml:space="preserve"> from their original storage location to the appropriate Casefiles storage location</w:t>
      </w:r>
      <w:r w:rsidR="00CE2178">
        <w:t xml:space="preserve"> by case</w:t>
      </w:r>
      <w:r w:rsidRPr="00646FD3">
        <w:t xml:space="preserve">. Only the files that you have assigned </w:t>
      </w:r>
      <w:r w:rsidR="00CE2178">
        <w:t xml:space="preserve">both </w:t>
      </w:r>
      <w:r w:rsidRPr="00646FD3">
        <w:t xml:space="preserve">a </w:t>
      </w:r>
      <w:r w:rsidRPr="00646FD3">
        <w:rPr>
          <w:b/>
          <w:bCs/>
          <w:smallCaps/>
        </w:rPr>
        <w:t>CASE</w:t>
      </w:r>
      <w:r w:rsidRPr="00646FD3">
        <w:rPr>
          <w:b/>
          <w:bCs/>
        </w:rPr>
        <w:t xml:space="preserve"> </w:t>
      </w:r>
      <w:r w:rsidRPr="00646FD3">
        <w:t xml:space="preserve">and a </w:t>
      </w:r>
      <w:r w:rsidRPr="00646FD3">
        <w:rPr>
          <w:b/>
          <w:bCs/>
          <w:smallCaps/>
        </w:rPr>
        <w:t>TAB</w:t>
      </w:r>
      <w:r w:rsidR="00CE2178">
        <w:t xml:space="preserve"> </w:t>
      </w:r>
      <w:r w:rsidR="007968CB" w:rsidRPr="0067024E">
        <w:rPr>
          <w:noProof/>
        </w:rPr>
        <w:t>are</w:t>
      </w:r>
      <w:r w:rsidR="00CE2178" w:rsidRPr="0067024E">
        <w:rPr>
          <w:noProof/>
        </w:rPr>
        <w:t xml:space="preserve"> transferred</w:t>
      </w:r>
      <w:r w:rsidR="00CE2178">
        <w:t>.  D</w:t>
      </w:r>
      <w:r w:rsidRPr="00646FD3">
        <w:t xml:space="preserve">on’t worry if you have other files listed here that you </w:t>
      </w:r>
      <w:r w:rsidR="00CE2178" w:rsidRPr="007968CB">
        <w:rPr>
          <w:noProof/>
        </w:rPr>
        <w:t>are</w:t>
      </w:r>
      <w:r w:rsidR="007968CB">
        <w:rPr>
          <w:noProof/>
        </w:rPr>
        <w:t xml:space="preserve"> no</w:t>
      </w:r>
      <w:r w:rsidR="00CE2178" w:rsidRPr="007968CB">
        <w:rPr>
          <w:noProof/>
        </w:rPr>
        <w:t>t</w:t>
      </w:r>
      <w:r w:rsidR="00CE2178">
        <w:t xml:space="preserve"> ready to transfer</w:t>
      </w:r>
      <w:r w:rsidRPr="00646FD3">
        <w:t>.</w:t>
      </w:r>
    </w:p>
    <w:p w:rsidR="00CE2178" w:rsidRDefault="00CE2178" w:rsidP="00CE2178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240"/>
        <w:jc w:val="center"/>
      </w:pPr>
      <w:r>
        <w:rPr>
          <w:noProof/>
        </w:rPr>
        <w:drawing>
          <wp:inline distT="0" distB="0" distL="0" distR="0">
            <wp:extent cx="4050792" cy="1426464"/>
            <wp:effectExtent l="0" t="0" r="698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eIT Assign to All Windo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07" w:rsidRDefault="00A60307" w:rsidP="00A6030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>
        <w:lastRenderedPageBreak/>
        <w:t>Click the checkbox to choose Multiple Cases to assign the documents in the Transfer List to multiple cases.</w:t>
      </w:r>
    </w:p>
    <w:p w:rsidR="00A60307" w:rsidRDefault="00A60307" w:rsidP="00A6030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>
        <w:t>Use the Filter (funnel) icon to limit the list of cases shown in the Case Name drop-down</w:t>
      </w:r>
      <w:r w:rsidR="0053549E">
        <w:t xml:space="preserve"> and Refresh the case list for any new cases added to TrialWorks while FileIT was opened</w:t>
      </w:r>
      <w:r>
        <w:t>.</w:t>
      </w:r>
    </w:p>
    <w:p w:rsidR="00A03FBE" w:rsidRDefault="00A03FBE" w:rsidP="00A03FBE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240"/>
        <w:jc w:val="center"/>
      </w:pPr>
      <w:r>
        <w:rPr>
          <w:noProof/>
        </w:rPr>
        <w:drawing>
          <wp:inline distT="0" distB="0" distL="0" distR="0">
            <wp:extent cx="1143000" cy="1024128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leIT Filter Case List from File to Al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23" w:rsidRDefault="00966823" w:rsidP="0053549E">
      <w:pPr>
        <w:pStyle w:val="Heading2"/>
        <w:spacing w:before="240"/>
      </w:pPr>
      <w:r>
        <w:t>Transferring Additional Documents</w:t>
      </w:r>
    </w:p>
    <w:p w:rsidR="006D6105" w:rsidRDefault="00966823" w:rsidP="00C80D2B">
      <w:pPr>
        <w:rPr>
          <w:noProof/>
        </w:rPr>
      </w:pPr>
      <w:r>
        <w:t xml:space="preserve">Often you need to associate </w:t>
      </w:r>
      <w:r w:rsidRPr="00966823">
        <w:rPr>
          <w:noProof/>
        </w:rPr>
        <w:t>a signed</w:t>
      </w:r>
      <w:r>
        <w:rPr>
          <w:noProof/>
        </w:rPr>
        <w:t>,</w:t>
      </w:r>
      <w:r>
        <w:t xml:space="preserve"> or court stamped document into the Additional or More Links field of a document created in TrialWorks.  </w:t>
      </w:r>
      <w:r w:rsidRPr="00C80D2B">
        <w:rPr>
          <w:noProof/>
        </w:rPr>
        <w:t xml:space="preserve">You can </w:t>
      </w:r>
      <w:r w:rsidR="001E669B" w:rsidRPr="00C80D2B">
        <w:rPr>
          <w:noProof/>
        </w:rPr>
        <w:t xml:space="preserve">file documents to the </w:t>
      </w:r>
      <w:r w:rsidR="00C80D2B" w:rsidRPr="00C80D2B">
        <w:rPr>
          <w:noProof/>
        </w:rPr>
        <w:t xml:space="preserve">following: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Ancillary (Additional), Ancillary (More Links)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Appeals (Additional)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Clients (Contracts) Clients (MedAuth) </w:t>
      </w:r>
    </w:p>
    <w:p w:rsidR="009F0302" w:rsidRDefault="009F0302" w:rsidP="009F0302">
      <w:pPr>
        <w:pStyle w:val="ListParagraph"/>
        <w:numPr>
          <w:ilvl w:val="1"/>
          <w:numId w:val="5"/>
        </w:numPr>
        <w:rPr>
          <w:noProof/>
        </w:rPr>
      </w:pPr>
      <w:bookmarkStart w:id="5" w:name="OLE_LINK4"/>
      <w:r>
        <w:t>Files transferred are placed into a “Temp” folder in the Casefiles folder for that case</w:t>
      </w:r>
    </w:p>
    <w:bookmarkEnd w:id="5"/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Correspondence (Additional), Correspondence (More Links)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Costs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Deposition (Additional), Deposition (More Links), Deposition (Summary), Deposition (Transcript)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Discovery (Additional), Discovery (More Links)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Experts (Witness Interview), Experts(Additional), Experts (Investigatory), Experts (Memo), Experts (More Links) </w:t>
      </w:r>
    </w:p>
    <w:p w:rsidR="00491FA6" w:rsidRDefault="00491FA6" w:rsidP="006D610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Insurance</w:t>
      </w:r>
    </w:p>
    <w:p w:rsidR="00491FA6" w:rsidRDefault="00491FA6" w:rsidP="00491FA6">
      <w:pPr>
        <w:pStyle w:val="ListParagraph"/>
        <w:numPr>
          <w:ilvl w:val="1"/>
          <w:numId w:val="5"/>
        </w:numPr>
        <w:rPr>
          <w:noProof/>
        </w:rPr>
      </w:pPr>
      <w:r>
        <w:t>Files transferred are placed into a “Temp” folder in the Casefiles folder for that case</w:t>
      </w:r>
    </w:p>
    <w:p w:rsidR="00491FA6" w:rsidRDefault="00491FA6" w:rsidP="006D610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Liens</w:t>
      </w:r>
    </w:p>
    <w:p w:rsidR="00491FA6" w:rsidRDefault="00491FA6" w:rsidP="00491FA6">
      <w:pPr>
        <w:pStyle w:val="ListParagraph"/>
        <w:numPr>
          <w:ilvl w:val="1"/>
          <w:numId w:val="5"/>
        </w:numPr>
        <w:rPr>
          <w:noProof/>
        </w:rPr>
      </w:pPr>
      <w:r>
        <w:t>Files transferred are placed into a “Temp” folder in the Casefiles folder for that case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>Medical</w:t>
      </w:r>
      <w:r w:rsidR="006D6105">
        <w:rPr>
          <w:noProof/>
        </w:rPr>
        <w:t xml:space="preserve"> [Records]</w:t>
      </w:r>
      <w:r w:rsidRPr="00C80D2B">
        <w:rPr>
          <w:noProof/>
        </w:rPr>
        <w:t xml:space="preserve">, Medical (FollowUp), Medical (More Links), Medical (Request)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Memo Additional, Memo (More Links)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Motions (Additional), Motions (More Links), Motions (Transcripts)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>Negotiations</w:t>
      </w:r>
    </w:p>
    <w:p w:rsidR="00491FA6" w:rsidRDefault="00491FA6" w:rsidP="00491FA6">
      <w:pPr>
        <w:pStyle w:val="ListParagraph"/>
        <w:numPr>
          <w:ilvl w:val="1"/>
          <w:numId w:val="5"/>
        </w:numPr>
        <w:rPr>
          <w:noProof/>
        </w:rPr>
      </w:pPr>
      <w:r>
        <w:t>Files transferred are placed into a “Temp” folder in the Casefiles folder for that case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 xml:space="preserve">Pleadings (Additional), Pleadings (More Links) </w:t>
      </w:r>
    </w:p>
    <w:p w:rsidR="006D6105" w:rsidRDefault="00C80D2B" w:rsidP="006D6105">
      <w:pPr>
        <w:pStyle w:val="ListParagraph"/>
        <w:numPr>
          <w:ilvl w:val="0"/>
          <w:numId w:val="5"/>
        </w:numPr>
        <w:rPr>
          <w:noProof/>
        </w:rPr>
      </w:pPr>
      <w:r w:rsidRPr="00C80D2B">
        <w:rPr>
          <w:noProof/>
        </w:rPr>
        <w:t>Subpoena (Additio</w:t>
      </w:r>
      <w:r w:rsidR="006D6105">
        <w:rPr>
          <w:noProof/>
        </w:rPr>
        <w:t>nal), Supoena (More Links)</w:t>
      </w:r>
    </w:p>
    <w:p w:rsidR="00C80D2B" w:rsidRDefault="00C80D2B" w:rsidP="00C80D2B">
      <w:pPr>
        <w:rPr>
          <w:noProof/>
        </w:rPr>
      </w:pPr>
      <w:r w:rsidRPr="00C80D2B">
        <w:rPr>
          <w:noProof/>
        </w:rPr>
        <w:t>Tagging a file to the Additional, More Links or one of the custom tab document links prompts you to locate your original link.</w:t>
      </w:r>
      <w:r w:rsidR="006D6105">
        <w:rPr>
          <w:noProof/>
        </w:rPr>
        <w:t xml:space="preserve">  Line up your document with a current entry</w:t>
      </w:r>
    </w:p>
    <w:p w:rsidR="006D6105" w:rsidRPr="00C80D2B" w:rsidRDefault="00ED5F39" w:rsidP="00ED5F39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lastRenderedPageBreak/>
        <w:t>Choose the tab and the additional or custom option in the drop-down and identify the existing entry to link the document.</w:t>
      </w:r>
    </w:p>
    <w:p w:rsidR="00C80D2B" w:rsidRPr="00966823" w:rsidRDefault="00C80D2B" w:rsidP="00C80D2B">
      <w:r>
        <w:rPr>
          <w:noProof/>
        </w:rPr>
        <w:drawing>
          <wp:inline distT="0" distB="0" distL="0" distR="0">
            <wp:extent cx="6400800" cy="33013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leIT - Available Records to Link with highlight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86" w:rsidRPr="00646FD3" w:rsidRDefault="00B22C86" w:rsidP="00966823">
      <w:pPr>
        <w:pStyle w:val="Heading1"/>
        <w:rPr>
          <w:i/>
          <w:iCs/>
          <w:caps/>
        </w:rPr>
      </w:pPr>
      <w:r w:rsidRPr="00646FD3">
        <w:t>Drag and Drop Files to FileIT</w:t>
      </w:r>
    </w:p>
    <w:p w:rsidR="00B22C86" w:rsidRPr="00646FD3" w:rsidRDefault="00B22C86" w:rsidP="00B22C86">
      <w:pPr>
        <w:spacing w:before="100" w:beforeAutospacing="1" w:after="100" w:afterAutospacing="1"/>
        <w:rPr>
          <w:lang w:val="en"/>
        </w:rPr>
      </w:pPr>
      <w:r w:rsidRPr="00646FD3">
        <w:rPr>
          <w:lang w:val="en"/>
        </w:rPr>
        <w:t xml:space="preserve">FileIT features the ability to drag a file to the FileIT icon and automatically launch the FileIT program. </w:t>
      </w:r>
    </w:p>
    <w:p w:rsidR="00B22C86" w:rsidRPr="00646FD3" w:rsidRDefault="00B22C86" w:rsidP="00ED5F39">
      <w:pPr>
        <w:pStyle w:val="ListParagraph"/>
        <w:numPr>
          <w:ilvl w:val="0"/>
          <w:numId w:val="5"/>
        </w:numPr>
        <w:rPr>
          <w:lang w:val="en"/>
        </w:rPr>
      </w:pPr>
      <w:r w:rsidRPr="00ED5F39">
        <w:t>Open</w:t>
      </w:r>
      <w:r w:rsidRPr="00646FD3">
        <w:rPr>
          <w:lang w:val="en"/>
        </w:rPr>
        <w:t xml:space="preserve"> the </w:t>
      </w:r>
      <w:r w:rsidRPr="00ED5F39">
        <w:rPr>
          <w:noProof/>
        </w:rPr>
        <w:t>folder</w:t>
      </w:r>
      <w:r w:rsidRPr="00646FD3">
        <w:rPr>
          <w:lang w:val="en"/>
        </w:rPr>
        <w:t xml:space="preserve"> containing the scanned image file.</w:t>
      </w:r>
    </w:p>
    <w:p w:rsidR="00B22C86" w:rsidRPr="00646FD3" w:rsidRDefault="00B22C86" w:rsidP="00ED5F39">
      <w:pPr>
        <w:pStyle w:val="ListParagraph"/>
        <w:numPr>
          <w:ilvl w:val="0"/>
          <w:numId w:val="5"/>
        </w:numPr>
        <w:rPr>
          <w:lang w:val="en"/>
        </w:rPr>
      </w:pPr>
      <w:r w:rsidRPr="00646FD3">
        <w:rPr>
          <w:lang w:val="en"/>
        </w:rPr>
        <w:t>Click the file or the entire folder and drag it on top of the FileIT icon located on your desktop.</w:t>
      </w:r>
    </w:p>
    <w:p w:rsidR="00B22C86" w:rsidRPr="00646FD3" w:rsidRDefault="00B22C86" w:rsidP="00ED5F39">
      <w:pPr>
        <w:pStyle w:val="ListParagraph"/>
        <w:numPr>
          <w:ilvl w:val="0"/>
          <w:numId w:val="5"/>
        </w:numPr>
        <w:rPr>
          <w:lang w:val="en"/>
        </w:rPr>
      </w:pPr>
      <w:r w:rsidRPr="00ED5F39">
        <w:t>FileIT</w:t>
      </w:r>
      <w:r w:rsidRPr="00646FD3">
        <w:rPr>
          <w:lang w:val="en"/>
        </w:rPr>
        <w:t xml:space="preserve"> opens and the file(s) is(are) added to the transfer list.</w:t>
      </w:r>
    </w:p>
    <w:p w:rsidR="00B22C86" w:rsidRPr="00646FD3" w:rsidRDefault="00B22C86" w:rsidP="00ED5F39">
      <w:pPr>
        <w:pStyle w:val="ListParagraph"/>
        <w:numPr>
          <w:ilvl w:val="0"/>
          <w:numId w:val="5"/>
        </w:numPr>
        <w:rPr>
          <w:lang w:val="en"/>
        </w:rPr>
      </w:pPr>
      <w:r w:rsidRPr="00ED5F39">
        <w:t>Complete</w:t>
      </w:r>
      <w:r w:rsidRPr="00646FD3">
        <w:rPr>
          <w:lang w:val="en"/>
        </w:rPr>
        <w:t xml:space="preserve"> the </w:t>
      </w:r>
      <w:r w:rsidRPr="00ED5F39">
        <w:rPr>
          <w:noProof/>
        </w:rPr>
        <w:t>required</w:t>
      </w:r>
      <w:r w:rsidRPr="00646FD3">
        <w:rPr>
          <w:lang w:val="en"/>
        </w:rPr>
        <w:t xml:space="preserve"> information as described above to transfer your documents.</w:t>
      </w:r>
    </w:p>
    <w:p w:rsidR="00B22C86" w:rsidRPr="00646FD3" w:rsidRDefault="00B22C86" w:rsidP="00ED5F39">
      <w:pPr>
        <w:pStyle w:val="ListParagraph"/>
        <w:numPr>
          <w:ilvl w:val="0"/>
          <w:numId w:val="5"/>
        </w:numPr>
        <w:rPr>
          <w:lang w:val="en"/>
        </w:rPr>
      </w:pPr>
      <w:r w:rsidRPr="00646FD3">
        <w:rPr>
          <w:lang w:val="en"/>
        </w:rPr>
        <w:t xml:space="preserve">You </w:t>
      </w:r>
      <w:r w:rsidRPr="00ED5F39">
        <w:t>also</w:t>
      </w:r>
      <w:r w:rsidRPr="00646FD3">
        <w:rPr>
          <w:lang w:val="en"/>
        </w:rPr>
        <w:t xml:space="preserve"> </w:t>
      </w:r>
      <w:r w:rsidR="00C74C8E">
        <w:rPr>
          <w:noProof/>
          <w:lang w:val="en"/>
        </w:rPr>
        <w:t>can</w:t>
      </w:r>
      <w:r w:rsidRPr="00646FD3">
        <w:rPr>
          <w:lang w:val="en"/>
        </w:rPr>
        <w:t xml:space="preserve"> drag </w:t>
      </w:r>
      <w:r w:rsidRPr="00ED5F39">
        <w:rPr>
          <w:noProof/>
        </w:rPr>
        <w:t>and</w:t>
      </w:r>
      <w:r w:rsidRPr="00646FD3">
        <w:rPr>
          <w:lang w:val="en"/>
        </w:rPr>
        <w:t xml:space="preserve"> drop files (or folders) onto the </w:t>
      </w:r>
      <w:r w:rsidR="0053549E">
        <w:rPr>
          <w:lang w:val="en"/>
        </w:rPr>
        <w:t>FileIt</w:t>
      </w:r>
      <w:r w:rsidRPr="00646FD3">
        <w:rPr>
          <w:lang w:val="en"/>
        </w:rPr>
        <w:t xml:space="preserve"> grid if you already have FileIt open.</w:t>
      </w:r>
    </w:p>
    <w:p w:rsidR="00B22C86" w:rsidRPr="00646FD3" w:rsidRDefault="00B22C86" w:rsidP="00B22C8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before="240"/>
      </w:pPr>
      <w:r w:rsidRPr="00646FD3">
        <w:t xml:space="preserve">It is recommended to </w:t>
      </w:r>
      <w:r w:rsidRPr="00646FD3">
        <w:rPr>
          <w:b/>
          <w:smallCaps/>
        </w:rPr>
        <w:t>Clear the Transfer List</w:t>
      </w:r>
      <w:r w:rsidRPr="00646FD3">
        <w:t xml:space="preserve"> once you have completed your transfer process.  </w:t>
      </w:r>
      <w:r w:rsidRPr="0067024E">
        <w:rPr>
          <w:noProof/>
        </w:rPr>
        <w:t>This</w:t>
      </w:r>
      <w:r w:rsidRPr="00646FD3">
        <w:t xml:space="preserve"> </w:t>
      </w:r>
      <w:r w:rsidR="00101994">
        <w:t xml:space="preserve">option </w:t>
      </w:r>
      <w:r w:rsidRPr="00646FD3">
        <w:t>does not delete the actual files that remain in the folder, just removes them from the FileIT window.</w:t>
      </w:r>
    </w:p>
    <w:sectPr w:rsidR="00B22C86" w:rsidRPr="00646FD3" w:rsidSect="00DF1024">
      <w:footerReference w:type="default" r:id="rId21"/>
      <w:footerReference w:type="first" r:id="rId2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B5" w:rsidRDefault="000B34B5" w:rsidP="00DF1024">
      <w:pPr>
        <w:spacing w:after="0" w:line="240" w:lineRule="auto"/>
      </w:pPr>
      <w:r>
        <w:separator/>
      </w:r>
    </w:p>
  </w:endnote>
  <w:endnote w:type="continuationSeparator" w:id="0">
    <w:p w:rsidR="000B34B5" w:rsidRDefault="000B34B5" w:rsidP="00DF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DF1024" w:rsidRPr="00DF1024" w:rsidTr="00DF1024">
      <w:tc>
        <w:tcPr>
          <w:tcW w:w="8095" w:type="dxa"/>
          <w:gridSpan w:val="4"/>
          <w:shd w:val="clear" w:color="auto" w:fill="auto"/>
          <w:hideMark/>
        </w:tcPr>
        <w:p w:rsidR="00DF1024" w:rsidRPr="00DF1024" w:rsidRDefault="00DF1024" w:rsidP="00DF1024">
          <w:pPr>
            <w:spacing w:after="0" w:line="240" w:lineRule="auto"/>
            <w:ind w:left="29" w:right="29"/>
            <w:rPr>
              <w:b/>
              <w:color w:val="016237"/>
              <w:sz w:val="36"/>
              <w:szCs w:val="20"/>
            </w:rPr>
          </w:pPr>
          <w:bookmarkStart w:id="6" w:name="OLE_LINK10"/>
        </w:p>
      </w:tc>
      <w:tc>
        <w:tcPr>
          <w:tcW w:w="1975" w:type="dxa"/>
          <w:vMerge w:val="restart"/>
          <w:tcBorders>
            <w:bottom w:val="single" w:sz="24" w:space="0" w:color="376A15"/>
          </w:tcBorders>
          <w:shd w:val="clear" w:color="auto" w:fill="auto"/>
          <w:vAlign w:val="center"/>
          <w:hideMark/>
        </w:tcPr>
        <w:p w:rsidR="00DF1024" w:rsidRPr="00DF1024" w:rsidRDefault="00312012" w:rsidP="00DF1024">
          <w:pPr>
            <w:spacing w:after="180" w:line="336" w:lineRule="auto"/>
            <w:jc w:val="center"/>
            <w:rPr>
              <w:color w:val="404040"/>
              <w:sz w:val="20"/>
              <w:szCs w:val="20"/>
            </w:rPr>
          </w:pPr>
          <w:r w:rsidRPr="00DF1024">
            <w:rPr>
              <w:noProof/>
              <w:color w:val="404040"/>
              <w:sz w:val="20"/>
              <w:szCs w:val="20"/>
            </w:rPr>
            <w:drawing>
              <wp:inline distT="0" distB="0" distL="0" distR="0">
                <wp:extent cx="657225" cy="657225"/>
                <wp:effectExtent l="0" t="0" r="0" b="0"/>
                <wp:docPr id="1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1024" w:rsidRPr="00DF1024" w:rsidTr="00DF1024">
      <w:tc>
        <w:tcPr>
          <w:tcW w:w="2245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2790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2790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270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0" w:type="auto"/>
          <w:vMerge/>
          <w:tcBorders>
            <w:bottom w:val="single" w:sz="24" w:space="0" w:color="376A15"/>
          </w:tcBorders>
          <w:shd w:val="clear" w:color="auto" w:fill="auto"/>
          <w:vAlign w:val="center"/>
          <w:hideMark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</w:tr>
    <w:tr w:rsidR="00DF1024" w:rsidRPr="00DF1024" w:rsidTr="00DF1024">
      <w:tc>
        <w:tcPr>
          <w:tcW w:w="2245" w:type="dxa"/>
          <w:tcBorders>
            <w:bottom w:val="single" w:sz="24" w:space="0" w:color="376A15"/>
          </w:tcBorders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2790" w:type="dxa"/>
          <w:tcBorders>
            <w:bottom w:val="single" w:sz="24" w:space="0" w:color="376A15"/>
          </w:tcBorders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2790" w:type="dxa"/>
          <w:tcBorders>
            <w:bottom w:val="single" w:sz="24" w:space="0" w:color="376A15"/>
          </w:tcBorders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270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0" w:type="auto"/>
          <w:vMerge/>
          <w:tcBorders>
            <w:bottom w:val="single" w:sz="24" w:space="0" w:color="376A15"/>
          </w:tcBorders>
          <w:shd w:val="clear" w:color="auto" w:fill="auto"/>
          <w:vAlign w:val="center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</w:tr>
    <w:tr w:rsidR="00DF1024" w:rsidRPr="00DF1024" w:rsidTr="00DF1024">
      <w:tc>
        <w:tcPr>
          <w:tcW w:w="2245" w:type="dxa"/>
          <w:tcBorders>
            <w:top w:val="single" w:sz="24" w:space="0" w:color="376A15"/>
          </w:tcBorders>
          <w:shd w:val="clear" w:color="auto" w:fill="auto"/>
        </w:tcPr>
        <w:p w:rsidR="00DF1024" w:rsidRPr="00DF1024" w:rsidRDefault="001E05A3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  <w:r>
            <w:rPr>
              <w:color w:val="404040"/>
              <w:sz w:val="20"/>
              <w:szCs w:val="20"/>
            </w:rPr>
            <w:t>Rev. 12-9</w:t>
          </w:r>
          <w:r w:rsidR="00DF1024" w:rsidRPr="00DF1024">
            <w:rPr>
              <w:color w:val="404040"/>
              <w:sz w:val="20"/>
              <w:szCs w:val="20"/>
            </w:rPr>
            <w:t>-2017</w:t>
          </w:r>
        </w:p>
      </w:tc>
      <w:tc>
        <w:tcPr>
          <w:tcW w:w="2790" w:type="dxa"/>
          <w:tcBorders>
            <w:top w:val="single" w:sz="24" w:space="0" w:color="376A15"/>
          </w:tcBorders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2790" w:type="dxa"/>
          <w:tcBorders>
            <w:top w:val="single" w:sz="24" w:space="0" w:color="376A15"/>
          </w:tcBorders>
          <w:shd w:val="clear" w:color="auto" w:fill="auto"/>
        </w:tcPr>
        <w:p w:rsidR="00DF1024" w:rsidRPr="00DF1024" w:rsidRDefault="001E05A3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  <w:r>
            <w:rPr>
              <w:color w:val="404040"/>
              <w:sz w:val="20"/>
              <w:szCs w:val="20"/>
            </w:rPr>
            <w:t xml:space="preserve">Using FileIT with </w:t>
          </w:r>
          <w:r w:rsidR="00DF1024" w:rsidRPr="00DF1024">
            <w:rPr>
              <w:color w:val="404040"/>
              <w:sz w:val="20"/>
              <w:szCs w:val="20"/>
            </w:rPr>
            <w:t>TrialWorks</w:t>
          </w:r>
        </w:p>
      </w:tc>
      <w:tc>
        <w:tcPr>
          <w:tcW w:w="270" w:type="dxa"/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rPr>
              <w:color w:val="404040"/>
              <w:sz w:val="20"/>
              <w:szCs w:val="20"/>
            </w:rPr>
          </w:pPr>
        </w:p>
      </w:tc>
      <w:tc>
        <w:tcPr>
          <w:tcW w:w="1975" w:type="dxa"/>
          <w:tcBorders>
            <w:top w:val="single" w:sz="24" w:space="0" w:color="376A15"/>
          </w:tcBorders>
          <w:shd w:val="clear" w:color="auto" w:fill="auto"/>
        </w:tcPr>
        <w:p w:rsidR="00DF1024" w:rsidRPr="00DF1024" w:rsidRDefault="00DF1024" w:rsidP="00DF1024">
          <w:pPr>
            <w:spacing w:after="180" w:line="336" w:lineRule="auto"/>
            <w:jc w:val="center"/>
            <w:rPr>
              <w:color w:val="404040"/>
              <w:sz w:val="20"/>
              <w:szCs w:val="20"/>
            </w:rPr>
          </w:pPr>
          <w:r w:rsidRPr="00DF1024">
            <w:rPr>
              <w:color w:val="404040"/>
              <w:sz w:val="20"/>
              <w:szCs w:val="20"/>
            </w:rPr>
            <w:t xml:space="preserve">Page </w: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begin"/>
          </w:r>
          <w:r w:rsidRPr="00DF1024">
            <w:rPr>
              <w:b/>
              <w:bCs/>
              <w:color w:val="404040"/>
              <w:sz w:val="20"/>
              <w:szCs w:val="20"/>
            </w:rPr>
            <w:instrText xml:space="preserve"> PAGE  \* Arabic  \* MERGEFORMAT </w:instrTex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separate"/>
          </w:r>
          <w:r w:rsidR="00E03A08">
            <w:rPr>
              <w:b/>
              <w:bCs/>
              <w:noProof/>
              <w:color w:val="404040"/>
              <w:sz w:val="20"/>
              <w:szCs w:val="20"/>
            </w:rPr>
            <w:t>5</w: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end"/>
          </w:r>
          <w:r w:rsidRPr="00DF1024">
            <w:rPr>
              <w:color w:val="404040"/>
              <w:sz w:val="20"/>
              <w:szCs w:val="20"/>
            </w:rPr>
            <w:t xml:space="preserve"> of </w: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begin"/>
          </w:r>
          <w:r w:rsidRPr="00DF1024">
            <w:rPr>
              <w:b/>
              <w:bCs/>
              <w:color w:val="404040"/>
              <w:sz w:val="20"/>
              <w:szCs w:val="20"/>
            </w:rPr>
            <w:instrText xml:space="preserve"> NUMPAGES  \* Arabic  \* MERGEFORMAT </w:instrTex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separate"/>
          </w:r>
          <w:r w:rsidR="00E03A08">
            <w:rPr>
              <w:b/>
              <w:bCs/>
              <w:noProof/>
              <w:color w:val="404040"/>
              <w:sz w:val="20"/>
              <w:szCs w:val="20"/>
            </w:rPr>
            <w:t>5</w:t>
          </w:r>
          <w:r w:rsidRPr="00DF1024">
            <w:rPr>
              <w:b/>
              <w:bCs/>
              <w:color w:val="404040"/>
              <w:sz w:val="20"/>
              <w:szCs w:val="20"/>
            </w:rPr>
            <w:fldChar w:fldCharType="end"/>
          </w:r>
        </w:p>
      </w:tc>
    </w:tr>
    <w:bookmarkEnd w:id="6"/>
  </w:tbl>
  <w:p w:rsidR="00DF1024" w:rsidRDefault="00DF1024" w:rsidP="00DF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DF1024" w:rsidRPr="00DF1024" w:rsidTr="00DF1024">
      <w:tc>
        <w:tcPr>
          <w:tcW w:w="8095" w:type="dxa"/>
          <w:gridSpan w:val="4"/>
          <w:tcBorders>
            <w:top w:val="nil"/>
            <w:left w:val="nil"/>
            <w:bottom w:val="single" w:sz="12" w:space="0" w:color="3E7718"/>
            <w:right w:val="nil"/>
          </w:tcBorders>
          <w:shd w:val="clear" w:color="auto" w:fill="auto"/>
          <w:hideMark/>
        </w:tcPr>
        <w:p w:rsidR="00DF1024" w:rsidRPr="00DF1024" w:rsidRDefault="00DF1024" w:rsidP="00DF1024">
          <w:pPr>
            <w:pStyle w:val="Organization"/>
            <w:spacing w:after="0"/>
            <w:jc w:val="both"/>
            <w:rPr>
              <w:rFonts w:eastAsia="Times New Roman"/>
              <w:color w:val="016237"/>
            </w:rPr>
          </w:pPr>
          <w:r w:rsidRPr="00DF1024">
            <w:rPr>
              <w:rFonts w:eastAsia="Times New Roman"/>
              <w:color w:val="016237"/>
            </w:rPr>
            <w:t>TrialWorks LLC</w:t>
          </w:r>
        </w:p>
      </w:tc>
      <w:tc>
        <w:tcPr>
          <w:tcW w:w="1975" w:type="dxa"/>
          <w:vMerge w:val="restart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:rsidR="00DF1024" w:rsidRPr="00DF1024" w:rsidRDefault="00312012" w:rsidP="00DF1024">
          <w:pPr>
            <w:spacing w:after="0" w:line="240" w:lineRule="auto"/>
            <w:jc w:val="center"/>
            <w:rPr>
              <w:rFonts w:eastAsia="Times New Roman"/>
              <w:sz w:val="20"/>
              <w:szCs w:val="20"/>
            </w:rPr>
          </w:pPr>
          <w:r w:rsidRPr="00DF1024"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>
                <wp:extent cx="657225" cy="6572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1024" w:rsidRPr="00DF1024" w:rsidTr="00DF1024">
      <w:tc>
        <w:tcPr>
          <w:tcW w:w="2245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8"/>
              <w:szCs w:val="8"/>
            </w:rPr>
          </w:pPr>
        </w:p>
      </w:tc>
      <w:tc>
        <w:tcPr>
          <w:tcW w:w="27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ascii="Tahoma" w:eastAsia="Times New Roman" w:hAnsi="Tahoma"/>
              <w:sz w:val="20"/>
              <w:szCs w:val="20"/>
            </w:rPr>
          </w:pPr>
        </w:p>
      </w:tc>
    </w:tr>
    <w:tr w:rsidR="00DF1024" w:rsidRPr="00DF1024" w:rsidTr="00DF1024">
      <w:tc>
        <w:tcPr>
          <w:tcW w:w="2245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hideMark/>
        </w:tcPr>
        <w:p w:rsidR="00DF1024" w:rsidRPr="00DF1024" w:rsidRDefault="00DF1024" w:rsidP="00DF1024">
          <w:pPr>
            <w:pStyle w:val="Footer"/>
            <w:jc w:val="both"/>
            <w:rPr>
              <w:rFonts w:eastAsia="Times New Roman"/>
              <w:color w:val="016237"/>
              <w:sz w:val="20"/>
              <w:szCs w:val="20"/>
            </w:rPr>
          </w:pPr>
          <w:r w:rsidRPr="00DF1024">
            <w:rPr>
              <w:rStyle w:val="Strong"/>
              <w:rFonts w:eastAsia="Times New Roman"/>
              <w:color w:val="016237"/>
              <w:sz w:val="20"/>
              <w:szCs w:val="20"/>
            </w:rPr>
            <w:t>Tel</w:t>
          </w:r>
          <w:r w:rsidRPr="00DF1024">
            <w:rPr>
              <w:rFonts w:eastAsia="Times New Roman"/>
              <w:color w:val="016237"/>
              <w:sz w:val="20"/>
              <w:szCs w:val="20"/>
            </w:rPr>
            <w:t xml:space="preserve"> 305.357.6500</w:t>
          </w:r>
        </w:p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  <w:r w:rsidRPr="00DF1024">
            <w:rPr>
              <w:rStyle w:val="Strong"/>
              <w:rFonts w:eastAsia="Times New Roman"/>
              <w:color w:val="016237"/>
              <w:sz w:val="20"/>
              <w:szCs w:val="20"/>
            </w:rPr>
            <w:t>Fax</w:t>
          </w:r>
          <w:r w:rsidRPr="00DF1024">
            <w:rPr>
              <w:rFonts w:eastAsia="Times New Roman"/>
              <w:color w:val="016237"/>
              <w:sz w:val="20"/>
              <w:szCs w:val="20"/>
            </w:rPr>
            <w:t xml:space="preserve"> 305.357.6499</w:t>
          </w:r>
        </w:p>
      </w:tc>
      <w:tc>
        <w:tcPr>
          <w:tcW w:w="2790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</w:tcPr>
        <w:p w:rsidR="00DF1024" w:rsidRPr="00DF1024" w:rsidRDefault="00DF1024" w:rsidP="00DF1024">
          <w:pPr>
            <w:pStyle w:val="Footer"/>
            <w:jc w:val="both"/>
            <w:rPr>
              <w:rFonts w:eastAsia="Times New Roman"/>
              <w:color w:val="016237"/>
              <w:sz w:val="20"/>
              <w:szCs w:val="20"/>
            </w:rPr>
          </w:pPr>
          <w:r w:rsidRPr="00DF1024">
            <w:rPr>
              <w:rFonts w:eastAsia="Times New Roman"/>
              <w:color w:val="016237"/>
              <w:sz w:val="20"/>
              <w:szCs w:val="20"/>
            </w:rPr>
            <w:t>1550 Madruga Ave, Ste 508</w:t>
          </w:r>
          <w:r w:rsidRPr="00DF1024">
            <w:rPr>
              <w:rFonts w:eastAsia="Times New Roman"/>
              <w:color w:val="016237"/>
              <w:sz w:val="20"/>
              <w:szCs w:val="20"/>
            </w:rPr>
            <w:br/>
            <w:t>Coral Gables, FL 33146</w:t>
          </w:r>
        </w:p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2790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hideMark/>
        </w:tcPr>
        <w:p w:rsidR="00DF1024" w:rsidRPr="00DF1024" w:rsidRDefault="00DF1024" w:rsidP="00DF1024">
          <w:pPr>
            <w:pStyle w:val="Footer"/>
            <w:jc w:val="both"/>
            <w:rPr>
              <w:rFonts w:eastAsia="Times New Roman"/>
              <w:color w:val="016237"/>
              <w:sz w:val="20"/>
              <w:szCs w:val="20"/>
            </w:rPr>
          </w:pPr>
          <w:r w:rsidRPr="00DF1024">
            <w:rPr>
              <w:rFonts w:eastAsia="Times New Roman"/>
              <w:color w:val="016237"/>
              <w:sz w:val="20"/>
              <w:szCs w:val="20"/>
            </w:rPr>
            <w:t>http://www.trialworks.com</w:t>
          </w:r>
        </w:p>
        <w:p w:rsidR="00DF1024" w:rsidRPr="00DF1024" w:rsidRDefault="000B34B5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  <w:hyperlink r:id="rId2" w:history="1">
            <w:r w:rsidR="00DF1024" w:rsidRPr="00DF1024">
              <w:rPr>
                <w:rStyle w:val="Hyperlink"/>
                <w:rFonts w:eastAsia="Times New Roman"/>
                <w:color w:val="54A021"/>
                <w:sz w:val="20"/>
                <w:szCs w:val="20"/>
              </w:rPr>
              <w:t>training@trialworks.com</w:t>
            </w:r>
          </w:hyperlink>
        </w:p>
      </w:tc>
      <w:tc>
        <w:tcPr>
          <w:tcW w:w="270" w:type="dxa"/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ascii="Tahoma" w:eastAsia="Times New Roman" w:hAnsi="Tahoma"/>
              <w:sz w:val="20"/>
              <w:szCs w:val="20"/>
            </w:rPr>
          </w:pPr>
        </w:p>
      </w:tc>
    </w:tr>
    <w:tr w:rsidR="00DF1024" w:rsidRPr="00DF1024" w:rsidTr="00DF1024">
      <w:tc>
        <w:tcPr>
          <w:tcW w:w="2245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2790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2790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270" w:type="dxa"/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  <w:tc>
        <w:tcPr>
          <w:tcW w:w="1975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:rsidR="00DF1024" w:rsidRPr="00DF1024" w:rsidRDefault="00DF1024" w:rsidP="00DF1024">
          <w:pPr>
            <w:spacing w:after="0" w:line="240" w:lineRule="auto"/>
            <w:jc w:val="both"/>
            <w:rPr>
              <w:rFonts w:eastAsia="Times New Roman"/>
              <w:sz w:val="20"/>
              <w:szCs w:val="20"/>
            </w:rPr>
          </w:pPr>
        </w:p>
      </w:tc>
    </w:tr>
  </w:tbl>
  <w:p w:rsidR="00DF1024" w:rsidRDefault="00DF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B5" w:rsidRDefault="000B34B5" w:rsidP="00DF1024">
      <w:pPr>
        <w:spacing w:after="0" w:line="240" w:lineRule="auto"/>
      </w:pPr>
      <w:r>
        <w:separator/>
      </w:r>
    </w:p>
  </w:footnote>
  <w:footnote w:type="continuationSeparator" w:id="0">
    <w:p w:rsidR="000B34B5" w:rsidRDefault="000B34B5" w:rsidP="00DF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FE4"/>
    <w:multiLevelType w:val="hybridMultilevel"/>
    <w:tmpl w:val="B46AEFAC"/>
    <w:lvl w:ilvl="0" w:tplc="8DE29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1DC8"/>
    <w:multiLevelType w:val="hybridMultilevel"/>
    <w:tmpl w:val="7BB6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F31"/>
    <w:multiLevelType w:val="multilevel"/>
    <w:tmpl w:val="C02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77072"/>
    <w:multiLevelType w:val="hybridMultilevel"/>
    <w:tmpl w:val="25C2CF2A"/>
    <w:lvl w:ilvl="0" w:tplc="8DE29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22C0"/>
    <w:multiLevelType w:val="hybridMultilevel"/>
    <w:tmpl w:val="13D6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55245"/>
    <w:multiLevelType w:val="hybridMultilevel"/>
    <w:tmpl w:val="AD3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zNzc1MDYxNTIwNDBT0lEKTi0uzszPAymwrAUAF0mxtiwAAAA="/>
  </w:docVars>
  <w:rsids>
    <w:rsidRoot w:val="00DF1024"/>
    <w:rsid w:val="00007950"/>
    <w:rsid w:val="00015398"/>
    <w:rsid w:val="000312D7"/>
    <w:rsid w:val="00083D7E"/>
    <w:rsid w:val="000A1DFF"/>
    <w:rsid w:val="000B34B5"/>
    <w:rsid w:val="000E3F8A"/>
    <w:rsid w:val="00101994"/>
    <w:rsid w:val="00131365"/>
    <w:rsid w:val="001633C5"/>
    <w:rsid w:val="001E05A3"/>
    <w:rsid w:val="001E2EFD"/>
    <w:rsid w:val="001E669B"/>
    <w:rsid w:val="001F2649"/>
    <w:rsid w:val="002430FC"/>
    <w:rsid w:val="002C7916"/>
    <w:rsid w:val="00312012"/>
    <w:rsid w:val="00335DA2"/>
    <w:rsid w:val="00491FA6"/>
    <w:rsid w:val="004C3ED9"/>
    <w:rsid w:val="0053549E"/>
    <w:rsid w:val="0067024E"/>
    <w:rsid w:val="006841E2"/>
    <w:rsid w:val="006D6105"/>
    <w:rsid w:val="006E2F6E"/>
    <w:rsid w:val="0074096F"/>
    <w:rsid w:val="0077459C"/>
    <w:rsid w:val="00784629"/>
    <w:rsid w:val="007968CB"/>
    <w:rsid w:val="007B7A82"/>
    <w:rsid w:val="007E12C6"/>
    <w:rsid w:val="007F6A3F"/>
    <w:rsid w:val="00854F91"/>
    <w:rsid w:val="008A5584"/>
    <w:rsid w:val="00902C21"/>
    <w:rsid w:val="00966823"/>
    <w:rsid w:val="0097426B"/>
    <w:rsid w:val="0099535B"/>
    <w:rsid w:val="009D193E"/>
    <w:rsid w:val="009F0302"/>
    <w:rsid w:val="00A03FBE"/>
    <w:rsid w:val="00A60307"/>
    <w:rsid w:val="00A728E8"/>
    <w:rsid w:val="00A744CC"/>
    <w:rsid w:val="00B10B60"/>
    <w:rsid w:val="00B22C86"/>
    <w:rsid w:val="00BC7D9E"/>
    <w:rsid w:val="00C74C8E"/>
    <w:rsid w:val="00C80D2B"/>
    <w:rsid w:val="00CB09CD"/>
    <w:rsid w:val="00CD02A6"/>
    <w:rsid w:val="00CE2178"/>
    <w:rsid w:val="00CF0761"/>
    <w:rsid w:val="00D26D8B"/>
    <w:rsid w:val="00D53C4B"/>
    <w:rsid w:val="00D876C7"/>
    <w:rsid w:val="00DB67A1"/>
    <w:rsid w:val="00DF1024"/>
    <w:rsid w:val="00E03A08"/>
    <w:rsid w:val="00E24E63"/>
    <w:rsid w:val="00ED38BF"/>
    <w:rsid w:val="00ED5F39"/>
    <w:rsid w:val="00F03D70"/>
    <w:rsid w:val="00F226E4"/>
    <w:rsid w:val="00F52445"/>
    <w:rsid w:val="00F71D7D"/>
    <w:rsid w:val="00F74015"/>
    <w:rsid w:val="00FE3793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A5CD"/>
  <w15:chartTrackingRefBased/>
  <w15:docId w15:val="{D3682BAE-AB62-4AD3-BF51-BC8447D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B1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B1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C8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24"/>
  </w:style>
  <w:style w:type="paragraph" w:styleId="Footer">
    <w:name w:val="footer"/>
    <w:basedOn w:val="Normal"/>
    <w:link w:val="FooterChar"/>
    <w:uiPriority w:val="99"/>
    <w:unhideWhenUsed/>
    <w:qFormat/>
    <w:rsid w:val="00D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24"/>
  </w:style>
  <w:style w:type="table" w:styleId="TableGrid">
    <w:name w:val="Table Grid"/>
    <w:basedOn w:val="TableNormal"/>
    <w:uiPriority w:val="39"/>
    <w:rsid w:val="00DF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uiPriority w:val="2"/>
    <w:qFormat/>
    <w:rsid w:val="00DF1024"/>
    <w:pPr>
      <w:spacing w:after="60" w:line="240" w:lineRule="auto"/>
      <w:ind w:left="29" w:right="29"/>
    </w:pPr>
    <w:rPr>
      <w:b/>
      <w:color w:val="004F2A"/>
      <w:sz w:val="36"/>
      <w:szCs w:val="20"/>
    </w:rPr>
  </w:style>
  <w:style w:type="character" w:styleId="Strong">
    <w:name w:val="Strong"/>
    <w:uiPriority w:val="22"/>
    <w:qFormat/>
    <w:rsid w:val="00DF1024"/>
    <w:rPr>
      <w:b/>
      <w:bCs/>
    </w:rPr>
  </w:style>
  <w:style w:type="character" w:styleId="Hyperlink">
    <w:name w:val="Hyperlink"/>
    <w:uiPriority w:val="99"/>
    <w:unhideWhenUsed/>
    <w:rsid w:val="00DF1024"/>
    <w:rPr>
      <w:color w:val="99CA3C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1024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E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E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C3ED9"/>
    <w:rPr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B22C8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E12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2C6"/>
    <w:rPr>
      <w:i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E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823"/>
    <w:rPr>
      <w:rFonts w:asciiTheme="majorHAnsi" w:eastAsiaTheme="majorEastAsia" w:hAnsiTheme="majorHAnsi" w:cstheme="majorBidi"/>
      <w:color w:val="003B1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823"/>
    <w:rPr>
      <w:rFonts w:asciiTheme="majorHAnsi" w:eastAsiaTheme="majorEastAsia" w:hAnsiTheme="majorHAnsi" w:cstheme="majorBidi"/>
      <w:color w:val="003B1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rialworks.com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004F2A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Links>
    <vt:vector size="6" baseType="variant">
      <vt:variant>
        <vt:i4>6029419</vt:i4>
      </vt:variant>
      <vt:variant>
        <vt:i4>6</vt:i4>
      </vt:variant>
      <vt:variant>
        <vt:i4>0</vt:i4>
      </vt:variant>
      <vt:variant>
        <vt:i4>5</vt:i4>
      </vt:variant>
      <vt:variant>
        <vt:lpwstr>mailto:training@trialworks.com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Gimenez</dc:creator>
  <cp:keywords/>
  <dc:description/>
  <cp:lastModifiedBy>Patrice Gimenez</cp:lastModifiedBy>
  <cp:revision>20</cp:revision>
  <cp:lastPrinted>2017-12-09T20:18:00Z</cp:lastPrinted>
  <dcterms:created xsi:type="dcterms:W3CDTF">2017-11-02T11:09:00Z</dcterms:created>
  <dcterms:modified xsi:type="dcterms:W3CDTF">2017-12-09T20:19:00Z</dcterms:modified>
</cp:coreProperties>
</file>